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 w:rsidP="00062DC7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1B4B6B">
        <w:rPr>
          <w:rFonts w:ascii="Times New Roman" w:eastAsia="Arial" w:hAnsi="Times New Roman" w:cs="Times New Roman"/>
          <w:sz w:val="20"/>
          <w:szCs w:val="20"/>
        </w:rPr>
        <w:t>62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многоквартирным домом №</w:t>
      </w:r>
      <w:r w:rsidR="001B4B6B">
        <w:rPr>
          <w:rFonts w:ascii="Times New Roman" w:eastAsia="Arial" w:hAnsi="Times New Roman" w:cs="Times New Roman"/>
          <w:sz w:val="20"/>
          <w:szCs w:val="20"/>
        </w:rPr>
        <w:t>24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, ул. </w:t>
      </w:r>
      <w:proofErr w:type="gramStart"/>
      <w:r w:rsidR="001B4B6B">
        <w:rPr>
          <w:rFonts w:ascii="Times New Roman" w:eastAsia="Arial" w:hAnsi="Times New Roman" w:cs="Times New Roman"/>
          <w:sz w:val="20"/>
          <w:szCs w:val="20"/>
        </w:rPr>
        <w:t>Тихая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E650D">
        <w:rPr>
          <w:rFonts w:ascii="Times New Roman" w:eastAsia="Arial" w:hAnsi="Times New Roman" w:cs="Times New Roman"/>
          <w:sz w:val="20"/>
          <w:szCs w:val="20"/>
        </w:rPr>
        <w:t>расположенным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на территории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домом №</w:t>
      </w:r>
      <w:r w:rsidR="001B4B6B">
        <w:rPr>
          <w:rFonts w:ascii="Times New Roman" w:eastAsia="Times New Roman" w:hAnsi="Times New Roman" w:cs="Times New Roman"/>
          <w:sz w:val="28"/>
        </w:rPr>
        <w:t>24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proofErr w:type="gramStart"/>
      <w:r w:rsidR="001B4B6B">
        <w:rPr>
          <w:rFonts w:ascii="Times New Roman" w:eastAsia="Times New Roman" w:hAnsi="Times New Roman" w:cs="Times New Roman"/>
          <w:sz w:val="28"/>
        </w:rPr>
        <w:t>Тихая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1C3C4A" w:rsidRDefault="00CB15EC">
      <w:pPr>
        <w:pageBreakBefore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1C3C4A" w:rsidRDefault="00CB15EC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Организатор конкурса: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>
        <w:r>
          <w:rPr>
            <w:rFonts w:ascii="PT-Astra-Sans-Regular" w:eastAsia="PT-Astra-Sans-Regular" w:hAnsi="PT-Astra-Sans-Regular" w:cs="PT-Astra-Sans-Regular"/>
            <w:color w:val="0000FF"/>
            <w:u w:val="single"/>
            <w:shd w:val="clear" w:color="auto" w:fill="FFFFFF"/>
          </w:rPr>
          <w:t>admfatezh@mail.ru</w:t>
        </w:r>
      </w:hyperlink>
      <w:proofErr w:type="gramEnd"/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C65266" w:rsidRDefault="00C65266" w:rsidP="00C6526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</w:t>
      </w:r>
      <w:proofErr w:type="spellStart"/>
      <w:r>
        <w:rPr>
          <w:rFonts w:ascii="Times New Roman" w:eastAsia="Times New Roman" w:hAnsi="Times New Roman" w:cs="Times New Roman"/>
          <w:sz w:val="24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05443022960) </w:t>
      </w:r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 Курск Банка России // УФК по Курской области,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урск</w:t>
      </w:r>
      <w:proofErr w:type="spellEnd"/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C65266" w:rsidRDefault="00C65266" w:rsidP="00C65266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C65266" w:rsidRDefault="00C65266" w:rsidP="00C6526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конкурсе.</w:t>
      </w:r>
    </w:p>
    <w:p w:rsidR="001C3C4A" w:rsidRDefault="00CB15EC" w:rsidP="004F2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проведения осмотра объектов конкурса: каждые 5 рабочих дней с даты опубликования извещения о проведении конкурса,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законодательством Российской Федерации и решение по такой жалобе не вступило в силу;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за 2 и боле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периода, подтвержденное актами сверки либо решением суда;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Внесение претендентом на счет, указанный в конкурсной документации,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конкурсе в письменном виде в запечатанном конверте по 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Приложению № 4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20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договору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Должен составлять не более 30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организациям, а также в случае причинения управляющей организацией вреда общему имуществу.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364379" w:rsidRDefault="00364379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1C3C4A" w:rsidRDefault="001C3C4A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коэффициент, установленный организатором конкурса - 0,5;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комплекса,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 Российской Федерации.</w:t>
      </w: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платы за содержание и ремонт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общей обслуживаемой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по объекту по содержанию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proofErr w:type="gramStart"/>
            <w:r w:rsidR="001B4B6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Тихая</w:t>
            </w:r>
            <w:proofErr w:type="gramEnd"/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1B4B6B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 w:rsidP="001948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1535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368452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18422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3411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1535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368452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18422,64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B4B6B" w:rsidP="001B4B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3411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1C3C4A" w:rsidRDefault="001C3C4A" w:rsidP="001948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 - в пользу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приема (сброса) сточных вод в качестве существенного условия этих договоров.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вместе с проектом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14. Формы и способы осуществления собственниками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</w:t>
      </w:r>
      <w:r w:rsidR="005055C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4379" w:rsidRDefault="00364379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AD5E2E">
        <w:rPr>
          <w:rFonts w:ascii="Times New Roman" w:eastAsia="Times New Roman" w:hAnsi="Times New Roman" w:cs="Times New Roman"/>
          <w:sz w:val="20"/>
          <w:szCs w:val="20"/>
        </w:rPr>
        <w:t>24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proofErr w:type="spellStart"/>
      <w:r w:rsidRPr="00D20E46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  <w:proofErr w:type="spellEnd"/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2542BF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>. (8471</w:t>
      </w:r>
      <w:r w:rsidR="003D618D"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>44)</w:t>
      </w:r>
      <w:r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2-</w:t>
      </w:r>
      <w:r w:rsidR="003D618D"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>17-79</w:t>
      </w:r>
      <w:r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1C3C4A" w:rsidRPr="002542BF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proofErr w:type="gramStart"/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542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2542BF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2542BF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.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r w:rsidR="00AD5E2E">
        <w:rPr>
          <w:rFonts w:ascii="Times New Roman" w:eastAsia="Times New Roman" w:hAnsi="Times New Roman" w:cs="Times New Roman"/>
          <w:sz w:val="24"/>
        </w:rPr>
        <w:t>Тихая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AD5E2E">
        <w:rPr>
          <w:rFonts w:ascii="Times New Roman" w:eastAsia="Times New Roman" w:hAnsi="Times New Roman" w:cs="Times New Roman"/>
          <w:sz w:val="24"/>
        </w:rPr>
        <w:t>24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7617F0" w:rsidRPr="00AD5E2E">
        <w:rPr>
          <w:rFonts w:ascii="Times New Roman" w:eastAsia="Times New Roman" w:hAnsi="Times New Roman" w:cs="Times New Roman"/>
          <w:b/>
          <w:sz w:val="24"/>
        </w:rPr>
        <w:t>19</w:t>
      </w:r>
      <w:r w:rsidR="005B55A7" w:rsidRPr="00AD5E2E">
        <w:rPr>
          <w:rFonts w:ascii="Times New Roman" w:eastAsia="Times New Roman" w:hAnsi="Times New Roman" w:cs="Times New Roman"/>
          <w:b/>
          <w:sz w:val="24"/>
        </w:rPr>
        <w:t>8</w:t>
      </w:r>
      <w:r w:rsidR="00AD5E2E" w:rsidRPr="00AD5E2E">
        <w:rPr>
          <w:rFonts w:ascii="Times New Roman" w:eastAsia="Times New Roman" w:hAnsi="Times New Roman" w:cs="Times New Roman"/>
          <w:b/>
          <w:sz w:val="24"/>
        </w:rPr>
        <w:t>8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  <w:r w:rsidR="00F17E4F">
        <w:rPr>
          <w:rFonts w:ascii="Times New Roman" w:eastAsia="Times New Roman" w:hAnsi="Times New Roman" w:cs="Times New Roman"/>
          <w:sz w:val="24"/>
        </w:rPr>
        <w:t>учета</w:t>
      </w:r>
      <w:r w:rsidR="001B61B0">
        <w:rPr>
          <w:rFonts w:ascii="Times New Roman" w:eastAsia="Times New Roman" w:hAnsi="Times New Roman" w:cs="Times New Roman"/>
          <w:sz w:val="24"/>
        </w:rPr>
        <w:t xml:space="preserve"> 4</w:t>
      </w:r>
      <w:r w:rsidR="00AD5E2E">
        <w:rPr>
          <w:rFonts w:ascii="Times New Roman" w:eastAsia="Times New Roman" w:hAnsi="Times New Roman" w:cs="Times New Roman"/>
          <w:sz w:val="24"/>
        </w:rPr>
        <w:t>6</w:t>
      </w:r>
      <w:r w:rsidR="001B61B0">
        <w:rPr>
          <w:rFonts w:ascii="Times New Roman" w:eastAsia="Times New Roman" w:hAnsi="Times New Roman" w:cs="Times New Roman"/>
          <w:sz w:val="24"/>
        </w:rPr>
        <w:t>% на 19.04.2018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7. Год последнего капитального ремонта</w:t>
      </w:r>
      <w:r w:rsidR="00AD5E2E">
        <w:rPr>
          <w:rFonts w:ascii="Times New Roman" w:eastAsia="Times New Roman" w:hAnsi="Times New Roman" w:cs="Times New Roman"/>
          <w:sz w:val="24"/>
        </w:rPr>
        <w:t>: капремонт холодное водоснабжение, водоотведение, крыши 2009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Реквизиты правового акта о признании многоквартирного дома аварийным и подлежащим сносу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CE09DF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627CC7">
        <w:rPr>
          <w:rFonts w:ascii="Times New Roman" w:eastAsia="Times New Roman" w:hAnsi="Times New Roman" w:cs="Times New Roman"/>
          <w:b/>
          <w:sz w:val="24"/>
        </w:rPr>
        <w:t>5</w:t>
      </w:r>
    </w:p>
    <w:p w:rsidR="001C3C4A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5B55A7">
        <w:rPr>
          <w:rFonts w:ascii="Times New Roman" w:eastAsia="Times New Roman" w:hAnsi="Times New Roman" w:cs="Times New Roman"/>
          <w:sz w:val="24"/>
        </w:rPr>
        <w:t>есть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AD5E2E">
        <w:rPr>
          <w:rFonts w:ascii="Times New Roman" w:eastAsia="Times New Roman" w:hAnsi="Times New Roman" w:cs="Times New Roman"/>
          <w:b/>
          <w:sz w:val="24"/>
        </w:rPr>
        <w:t>60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1D3291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4F2A9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C449F8" w:rsidRDefault="00C449F8" w:rsidP="00C449F8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49F8" w:rsidRDefault="00C449F8" w:rsidP="00C449F8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C449F8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19. Площадь:</w:t>
      </w:r>
    </w:p>
    <w:p w:rsidR="001C3C4A" w:rsidRDefault="00CB15EC" w:rsidP="00C449F8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AD5E2E" w:rsidRPr="00AD5E2E">
        <w:rPr>
          <w:rFonts w:ascii="Times New Roman" w:eastAsia="Times New Roman" w:hAnsi="Times New Roman" w:cs="Times New Roman"/>
          <w:b/>
          <w:sz w:val="24"/>
        </w:rPr>
        <w:t>3829,5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C449F8">
      <w:pPr>
        <w:tabs>
          <w:tab w:val="center" w:pos="759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 w:rsidR="00AD5E2E">
        <w:rPr>
          <w:rFonts w:ascii="Times New Roman" w:eastAsia="Times New Roman" w:hAnsi="Times New Roman" w:cs="Times New Roman"/>
          <w:b/>
          <w:sz w:val="24"/>
        </w:rPr>
        <w:t>3411</w:t>
      </w:r>
      <w:r w:rsidR="00627CC7">
        <w:rPr>
          <w:rFonts w:ascii="Times New Roman" w:eastAsia="Times New Roman" w:hAnsi="Times New Roman" w:cs="Times New Roman"/>
          <w:b/>
          <w:sz w:val="24"/>
        </w:rPr>
        <w:t>,</w:t>
      </w:r>
      <w:r w:rsidR="00AD5E2E">
        <w:rPr>
          <w:rFonts w:ascii="Times New Roman" w:eastAsia="Times New Roman" w:hAnsi="Times New Roman" w:cs="Times New Roman"/>
          <w:b/>
          <w:sz w:val="24"/>
        </w:rPr>
        <w:t>6</w:t>
      </w:r>
      <w:r w:rsidR="00627CC7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C449F8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в) нежилых помещений (общая площадь нежилых помещений, не входящих в состав общего имущества в многоквартирном доме) кв. м</w:t>
      </w:r>
    </w:p>
    <w:p w:rsidR="001C3C4A" w:rsidRDefault="00CB15EC" w:rsidP="00C449F8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="00AD5E2E">
        <w:rPr>
          <w:rFonts w:ascii="Times New Roman" w:eastAsia="Times New Roman" w:hAnsi="Times New Roman" w:cs="Times New Roman"/>
          <w:b/>
          <w:sz w:val="24"/>
        </w:rPr>
        <w:t>417,9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C449F8">
      <w:pPr>
        <w:tabs>
          <w:tab w:val="center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AD5E2E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  шт.</w:t>
      </w:r>
    </w:p>
    <w:p w:rsidR="001C3C4A" w:rsidRDefault="00CB15EC" w:rsidP="00C4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C449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C449F8">
      <w:pPr>
        <w:tabs>
          <w:tab w:val="center" w:pos="723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C449F8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Уборочная площадь других помещений общего пользования (включая технические этажи, чердаки, технические подвалы)___________________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3C4A" w:rsidRDefault="00CB15EC" w:rsidP="00C449F8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 Площадь земельного участка, входящего в состав общего имущества многоквартирного дома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1C3C4A" w:rsidRDefault="00CB15EC" w:rsidP="00C4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464"/>
        <w:gridCol w:w="2746"/>
      </w:tblGrid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24C1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</w:t>
            </w:r>
            <w:r w:rsidR="0099205B">
              <w:rPr>
                <w:rFonts w:ascii="Times New Roman" w:eastAsia="Times New Roman" w:hAnsi="Times New Roman" w:cs="Times New Roman"/>
                <w:sz w:val="24"/>
              </w:rPr>
              <w:t>бетонные блоки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D5E2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панельные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D5E2E" w:rsidP="004B24C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панельные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железобетонные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железобетонные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D5E2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D5E2E" w:rsidP="00AD5E2E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бетонные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01575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металлические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9157FF">
              <w:rPr>
                <w:rFonts w:ascii="Times New Roman" w:eastAsia="Times New Roman" w:hAnsi="Times New Roman" w:cs="Times New Roman"/>
                <w:sz w:val="24"/>
              </w:rPr>
              <w:t>тукатурка, оклейка обоями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Pr="00F06DEE" w:rsidRDefault="001C3C4A" w:rsidP="004B24C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элементов (материал, конструкция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Техническое состояние элементов общего имущества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многоквартирного дома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22A73" w:rsidP="0099205B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</w:p>
          <w:p w:rsidR="002D5668" w:rsidRDefault="004B24C1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6A95" w:rsidP="004B24C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сть, </w:t>
            </w:r>
            <w:r w:rsidR="004B24C1">
              <w:rPr>
                <w:rFonts w:ascii="Times New Roman" w:eastAsia="Times New Roman" w:hAnsi="Times New Roman" w:cs="Times New Roman"/>
                <w:sz w:val="24"/>
              </w:rPr>
              <w:t>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24C1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99205B" w:rsidRDefault="0099205B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C3C4A" w:rsidRDefault="00BA0620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Емельянов</w:t>
            </w:r>
            <w:proofErr w:type="spellEnd"/>
          </w:p>
        </w:tc>
      </w:tr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1C3C4A" w:rsidRDefault="001C3C4A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C3C4A">
        <w:trPr>
          <w:trHeight w:val="1"/>
        </w:trPr>
        <w:tc>
          <w:tcPr>
            <w:tcW w:w="10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«28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D566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</w:tbl>
    <w:p w:rsidR="001C3C4A" w:rsidRDefault="00CB15EC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AD5E2E">
        <w:rPr>
          <w:rFonts w:ascii="Times New Roman" w:eastAsia="Times New Roman" w:hAnsi="Times New Roman" w:cs="Times New Roman"/>
          <w:sz w:val="20"/>
          <w:szCs w:val="20"/>
        </w:rPr>
        <w:t>24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2A21" w:rsidRDefault="009F2A21" w:rsidP="004F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p w:rsidR="009F2A21" w:rsidRDefault="009F2A2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5679"/>
        <w:gridCol w:w="2454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AD5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449F8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AD5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449F8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AD5E2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449F8" w:rsidP="00C449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AD5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C449F8" w:rsidP="006B2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AD5E2E">
        <w:rPr>
          <w:rFonts w:ascii="Times New Roman" w:eastAsia="Times New Roman" w:hAnsi="Times New Roman" w:cs="Times New Roman"/>
          <w:sz w:val="20"/>
          <w:szCs w:val="20"/>
        </w:rPr>
        <w:t>24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№ </w:t>
            </w:r>
            <w:proofErr w:type="gramStart"/>
            <w:r w:rsidRPr="003174E4">
              <w:rPr>
                <w:sz w:val="18"/>
                <w:szCs w:val="18"/>
              </w:rPr>
              <w:t>п</w:t>
            </w:r>
            <w:proofErr w:type="gramEnd"/>
            <w:r w:rsidRPr="003174E4">
              <w:rPr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>. общей площади помещения (руб./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 xml:space="preserve">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 xml:space="preserve">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Содержание внутридомовых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>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</w:t>
            </w:r>
            <w:proofErr w:type="spellStart"/>
            <w:r w:rsidRPr="003174E4">
              <w:rPr>
                <w:sz w:val="18"/>
                <w:szCs w:val="18"/>
              </w:rPr>
              <w:t>в.</w:t>
            </w:r>
            <w:proofErr w:type="gramStart"/>
            <w:r w:rsidRPr="003174E4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3174E4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>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 xml:space="preserve">. площади в многоквартирных жилых домах установлен на основании </w:t>
      </w:r>
      <w:proofErr w:type="gramStart"/>
      <w:r w:rsidRPr="005055C8">
        <w:rPr>
          <w:rFonts w:ascii="Times New Roman CYR" w:hAnsi="Times New Roman CYR" w:cs="Times New Roman CYR"/>
          <w:color w:val="000000"/>
          <w:highlight w:val="white"/>
        </w:rPr>
        <w:t>Решения Собрания депутатов города Фатежа</w:t>
      </w:r>
      <w:proofErr w:type="gramEnd"/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AD5E2E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>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proofErr w:type="gramEnd"/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  <w:proofErr w:type="gramEnd"/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руководителя организации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индивидуального предпринимателя)</w:t>
      </w:r>
      <w:proofErr w:type="gramEnd"/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AD5E2E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Лот № 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2207"/>
        <w:gridCol w:w="3382"/>
        <w:gridCol w:w="1673"/>
        <w:gridCol w:w="1227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2542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r w:rsidR="002542B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Тихая</w:t>
            </w:r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2542B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24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AD5E2E" w:rsidP="00F32ACF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3411,60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 xml:space="preserve">работ и услуг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 xml:space="preserve">Цена работ и услуг на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, 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AD5E2E" w:rsidP="00AD5E2E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50355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D5E2E" w:rsidP="00AD5E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239903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задолженности по оплате ЖКУ; ведение технической документации по МКД, работа с населением,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 рассмотрение обращений и жалоб по качеству обслуживания;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D5E2E" w:rsidP="00AD5E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78193</w:t>
            </w:r>
            <w:r w:rsidR="00FC06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  <w:r w:rsidR="008D0EA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E515D7" w:rsidP="00E51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368452</w:t>
            </w:r>
            <w:r w:rsidR="008D0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F2A21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E515D7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E515D7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                  (Наименование юридического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дальнейшем «Управляющая организация», в лице 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основании __________________,  с одной стороны,</w:t>
      </w:r>
    </w:p>
    <w:p w:rsidR="001C3C4A" w:rsidRDefault="00CB15EC" w:rsidP="009F2A21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1C3C4A" w:rsidRDefault="00CB15EC" w:rsidP="009F2A2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9F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 адресу: </w:t>
      </w:r>
      <w:proofErr w:type="gramStart"/>
      <w:r w:rsidR="003174E4">
        <w:rPr>
          <w:rFonts w:ascii="Times New Roman" w:eastAsia="Times New Roman" w:hAnsi="Times New Roman" w:cs="Times New Roman"/>
          <w:shd w:val="clear" w:color="auto" w:fill="FFFFFF"/>
        </w:rPr>
        <w:t xml:space="preserve">Курская </w:t>
      </w:r>
      <w:r>
        <w:rPr>
          <w:rFonts w:ascii="Times New Roman" w:eastAsia="Times New Roman" w:hAnsi="Times New Roman" w:cs="Times New Roman"/>
          <w:shd w:val="clear" w:color="auto" w:fill="FFFFFF"/>
        </w:rPr>
        <w:t>обл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</w:t>
      </w:r>
      <w:proofErr w:type="gramEnd"/>
      <w:r>
        <w:rPr>
          <w:rFonts w:ascii="Times New Roman" w:eastAsia="Times New Roman" w:hAnsi="Times New Roman" w:cs="Times New Roman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Минрегиона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27.06.2012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1C3C4A" w:rsidRDefault="00CB15EC" w:rsidP="009F2A21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1C3C4A" w:rsidRDefault="001C3C4A" w:rsidP="004F2A9A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Курская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обл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______________, д. _____ (протокол конкурса от  «___»___________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_г.) и условиях, определённых конкурсной документацией.</w:t>
      </w:r>
      <w:proofErr w:type="gramEnd"/>
    </w:p>
    <w:p w:rsidR="001C3C4A" w:rsidRDefault="00CB15EC" w:rsidP="0000345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1C3C4A" w:rsidRDefault="00CB15EC" w:rsidP="0000345E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9F2A21" w:rsidRDefault="009F2A21" w:rsidP="0000345E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F2A9A" w:rsidRDefault="004F2A9A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условиями настоящего Договора Управляющая организация по заданию Собственника помещений в многоквартирном доме в течение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Курская область,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1C3C4A" w:rsidRDefault="00CB15EC" w:rsidP="0000345E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1C3C4A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2.4. Капитальный ремонт общего имущества в многоквартирном доме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порядком, установленным действующим законодательством.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1C3C4A" w:rsidRDefault="00CB15EC" w:rsidP="0000345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1C3C4A" w:rsidRDefault="00CB15EC" w:rsidP="0000345E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1C3C4A" w:rsidRDefault="00CB15EC" w:rsidP="0000345E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0034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 договоров на предоставление коммунальных ресурсов на условиях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не противоречащих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соблюдением условий договоров, заключенных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организациями, качеством и количеством (объемом) поставляемых коммунальных ресурсов.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  <w:proofErr w:type="gramEnd"/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Регулярно с учетом периодичности, установленной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1C3C4A" w:rsidRDefault="00CB15EC" w:rsidP="0000345E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3.1.11. Информировать Собственника помещения об изменении размера платы по настоящему Договору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20 дней до даты предоставления платежных документов, на основании которых будет вноситься плата в ином размере.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собственников помещений Управляющая организация обязана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подтверждающие произведенные ею расходы и их обоснованность.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1C3C4A" w:rsidRDefault="00CB15EC" w:rsidP="000A5220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345E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1C3C4A" w:rsidRDefault="00CB15EC" w:rsidP="000A5220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зимних условиях.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если такой собственник не указан, любому собственнику помещения в доме.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3.1.25. Информировать собственников помещений о плановых перерывах предоставления коммунальных услуг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10 рабочих дней до начала перерыва.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3.1.33. Устранять аварийное состояние многоквартирного дома, его части, отдельных конструкций или элементов инженерного оборудования.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1C3C4A" w:rsidRDefault="00CB15EC" w:rsidP="000A5220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3.1.37. Не раскрывать третьим лицам и не распространять персональные данные без согласия собственника помещения - субъекта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данный.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  <w:proofErr w:type="gramEnd"/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доме) в общих собраниях собственников помещений.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установленным действующим законодательством требованиям.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3.2.7.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3.2.8. Требовать с Собственника помещения внесения платы за жилое помещение и коммунальные услуги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1C3C4A" w:rsidRDefault="00CB15EC" w:rsidP="000A5220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1C3C4A" w:rsidRDefault="00CB15EC" w:rsidP="000A5220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1C3C4A" w:rsidRDefault="00CB15EC" w:rsidP="000A5220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1C3C4A" w:rsidRDefault="000A5220" w:rsidP="000A5220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1C3C4A" w:rsidRDefault="00CB15EC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 изменении количества граждан, проживающих в жило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-ых) помещении(-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), возникновении, изменении или прекращении права на льготы и др.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3.4.4.1.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1C3C4A" w:rsidRDefault="000A5220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1C3C4A" w:rsidRDefault="000A5220" w:rsidP="000A5220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1C3C4A" w:rsidRDefault="000A5220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акт о </w:t>
      </w:r>
      <w:proofErr w:type="spell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непредоставлении</w:t>
      </w:r>
      <w:proofErr w:type="spell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1C3C4A" w:rsidRDefault="000A5220" w:rsidP="000A522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об устранении выявленных недостатков в установленные сроки.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1C3C4A" w:rsidRDefault="00CB15EC" w:rsidP="000A5220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1C3C4A" w:rsidRDefault="00CB15EC" w:rsidP="000A5220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9F2A21" w:rsidRDefault="000A5220" w:rsidP="000A5220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1C3C4A" w:rsidRDefault="009F2A21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Размер платы, вносимой Собственником помещений по Договору, порядок ее внесения и изменения</w:t>
      </w:r>
    </w:p>
    <w:p w:rsidR="0000345E" w:rsidRDefault="0000345E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1C3C4A" w:rsidRDefault="00CB15EC" w:rsidP="000A522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1C3C4A" w:rsidRDefault="00CB15EC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4.2. Плата за жилое помещение и коммунальные услуги вносится Собственником ежемесячно до 10-го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>й по результатам конкурса №____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 «___» __________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0A5220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(____________________________)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рублей/кв. 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1C3C4A" w:rsidRDefault="00CB15EC" w:rsidP="000A5220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1C3C4A" w:rsidRDefault="00CB15EC" w:rsidP="000A522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790FFF" w:rsidRDefault="00790FFF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сторонами обязательств по Договору</w:t>
      </w:r>
    </w:p>
    <w:p w:rsidR="0000345E" w:rsidRDefault="0000345E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1C3C4A" w:rsidRDefault="00CB15EC" w:rsidP="0000345E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1C3C4A" w:rsidRDefault="00CB15EC" w:rsidP="0000345E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1C3C4A" w:rsidRDefault="00CB15EC" w:rsidP="0000345E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1C3C4A" w:rsidRDefault="0000345E" w:rsidP="0000345E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приемке </w:t>
      </w:r>
      <w:proofErr w:type="gram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дома</w:t>
      </w:r>
      <w:proofErr w:type="gram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управление Управляющей организацией;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конец очередного года действия настоящего Договора;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расторжении настоящего Договора по инициативе любой из Сторон.</w:t>
      </w:r>
    </w:p>
    <w:p w:rsidR="000A5220" w:rsidRDefault="000A5220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0A5220" w:rsidRDefault="000A5220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1C3C4A" w:rsidRDefault="00CB15EC" w:rsidP="0000345E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яющей организации по настоящему договору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невыполнения работ, предусмотренных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6.4.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1C3C4A" w:rsidRPr="00790FFF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6.7.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согласия споры разрешаются в судебном порядке.</w:t>
      </w:r>
    </w:p>
    <w:p w:rsidR="00790FFF" w:rsidRDefault="00790FFF" w:rsidP="0000345E">
      <w:pPr>
        <w:numPr>
          <w:ilvl w:val="0"/>
          <w:numId w:val="25"/>
        </w:num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0A5220" w:rsidRDefault="000A5220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1C3C4A" w:rsidRDefault="00CB15EC" w:rsidP="0000345E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1C3C4A" w:rsidRDefault="00CB15EC" w:rsidP="0000345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1C3C4A" w:rsidRDefault="0000345E" w:rsidP="0000345E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принятия общим собранием собственников помещений решения о выборе иного способа управления;</w:t>
      </w:r>
    </w:p>
    <w:p w:rsidR="001C3C4A" w:rsidRDefault="0000345E" w:rsidP="0000345E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помещений, если Управляющая организация не выполняет условия Договора.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  <w:proofErr w:type="gramEnd"/>
    </w:p>
    <w:p w:rsidR="001C3C4A" w:rsidRDefault="00CB15EC" w:rsidP="0000345E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  <w:proofErr w:type="gramEnd"/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5055C8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055C8"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</w:p>
    <w:p w:rsidR="001C3C4A" w:rsidRDefault="00CB15EC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1C3C4A" w:rsidRDefault="00CB15EC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0A5220" w:rsidRDefault="000A5220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1C3C4A" w:rsidRDefault="00CB15EC" w:rsidP="0000345E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1C3C4A" w:rsidRDefault="001C3C4A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9F2A21">
      <w:pPr>
        <w:numPr>
          <w:ilvl w:val="0"/>
          <w:numId w:val="27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3"/>
        <w:gridCol w:w="4763"/>
      </w:tblGrid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0A5220" w:rsidP="000A5220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/с_____________________________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1C3C4A" w:rsidRDefault="001C3C4A" w:rsidP="009F2A21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3174E4" w:rsidRDefault="003174E4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1C3C4A" w:rsidRDefault="00CB15EC">
      <w:pPr>
        <w:spacing w:after="244" w:line="278" w:lineRule="auto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1C3C4A" w:rsidRDefault="00CB15EC">
      <w:pPr>
        <w:spacing w:before="24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1C3C4A" w:rsidRDefault="001C3C4A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465"/>
        <w:gridCol w:w="2386"/>
        <w:gridCol w:w="275"/>
        <w:gridCol w:w="2710"/>
      </w:tblGrid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C3C4A" w:rsidRDefault="00CB15EC" w:rsidP="003174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3174E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3174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1C3C4A" w:rsidTr="003174E4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C3C4A" w:rsidRDefault="00CB15EC">
      <w:pPr>
        <w:spacing w:before="400"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C449F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1C3C4A" w:rsidRDefault="00CB15EC" w:rsidP="00C449F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 w:rsidP="00C449F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6915"/>
        <w:gridCol w:w="3023"/>
      </w:tblGrid>
      <w:tr w:rsidR="0014324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43245" w:rsidRPr="00143245">
        <w:trPr>
          <w:trHeight w:val="6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143245" w:rsidRPr="00143245">
        <w:trPr>
          <w:trHeight w:val="7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3245">
        <w:trPr>
          <w:trHeight w:val="43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143245" w:rsidRP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 раза в год</w:t>
            </w:r>
          </w:p>
        </w:tc>
      </w:tr>
      <w:tr w:rsidR="00143245" w:rsidRPr="00143245">
        <w:trPr>
          <w:trHeight w:val="100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зимний период по мере необходимости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Укреплениеи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Установка недостающих, частично разбитых и укрепление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слабоукреплённых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143245" w:rsidRPr="00143245">
        <w:trPr>
          <w:trHeight w:val="12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 при подготовке к отопительному сезону, по мере выявления дефектов; в зимнее время — в течение одних суток;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лет-нее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время — в течение трёх суток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Закрытие подвальных дверей, металлических решеток и лазов на замки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г) Печи, очаги,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вентканалы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 w:rsidRP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Осмотры и очистка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вентканалов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мелкий ремонт (заделка трещин,  др.) : кирпичные, асбоцементные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вентляц.каналы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год, при подготовке к отопительному сезону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дефектов)  один раз в три месяца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143245" w:rsidRPr="00143245">
        <w:trPr>
          <w:trHeight w:val="6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Консервация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расконсервация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систем центрального отопления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и ремонт отдельных участков и элементов системы, регулировка, ревизия и ремонт запорной,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воздухосборной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Наладка, регулировка систем с ликвидацией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непрогрева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завоздушивания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по мере выявления</w:t>
            </w:r>
          </w:p>
        </w:tc>
      </w:tr>
      <w:tr w:rsid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стонов; 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45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Ремонт, ревизия запорной арматуры на системах водоснабжения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Планово-один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раз в год по мере выявления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немедленно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Обходы и осмотры систем (в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аружных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графику</w:t>
            </w:r>
          </w:p>
        </w:tc>
      </w:tr>
      <w:tr w:rsidR="00143245" w:rsidRPr="00143245">
        <w:trPr>
          <w:trHeight w:val="12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неисправных предохранителей, автоматических выключателей и пакетных переключателей в этажных электрощитах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вводнораспределительное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семи суток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Четыре раза в год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нарушений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9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необходимости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Заделка и расшивка швов, трещин фундаментов, стен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странение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143245">
        <w:trPr>
          <w:trHeight w:val="2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антисептирование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Усиление элементов деревянной стропильной системы, включая смену отдельных ног, стоек, подкосов, участков коньковых прогонов, лежней,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мауэрлатов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2.7.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143245">
        <w:trPr>
          <w:trHeight w:val="12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неисправностей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143245">
        <w:trPr>
          <w:trHeight w:val="9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143245">
        <w:trPr>
          <w:trHeight w:val="9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вышедших из строя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электроустановочных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28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 и восстановление разрушенных участков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отмосток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5055C8" w:rsidRDefault="005055C8" w:rsidP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3174E4" w:rsidRDefault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4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C449F8" w:rsidRDefault="00C449F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Pr="003174E4" w:rsidRDefault="00CB15EC" w:rsidP="00C449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1C3C4A" w:rsidRDefault="00CB15EC" w:rsidP="00C4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p w:rsidR="00C449F8" w:rsidRPr="003174E4" w:rsidRDefault="00C449F8" w:rsidP="00C4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11"/>
        <w:gridCol w:w="1532"/>
        <w:gridCol w:w="1586"/>
        <w:gridCol w:w="2485"/>
      </w:tblGrid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участке, и других элементов общего 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электроснабжения, холодного и горячего водоснабжения, водоотведения, теплоснабжения, газоснабжения с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/с_____________________________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C3C4A" w:rsidRPr="003174E4" w:rsidRDefault="001C3C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0A5220">
      <w:headerReference w:type="default" r:id="rId15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6B" w:rsidRDefault="001B4B6B" w:rsidP="00CB15EC">
      <w:pPr>
        <w:spacing w:after="0" w:line="240" w:lineRule="auto"/>
      </w:pPr>
      <w:r>
        <w:separator/>
      </w:r>
    </w:p>
  </w:endnote>
  <w:endnote w:type="continuationSeparator" w:id="0">
    <w:p w:rsidR="001B4B6B" w:rsidRDefault="001B4B6B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6B" w:rsidRDefault="001B4B6B" w:rsidP="00CB15EC">
      <w:pPr>
        <w:spacing w:after="0" w:line="240" w:lineRule="auto"/>
      </w:pPr>
      <w:r>
        <w:separator/>
      </w:r>
    </w:p>
  </w:footnote>
  <w:footnote w:type="continuationSeparator" w:id="0">
    <w:p w:rsidR="001B4B6B" w:rsidRDefault="001B4B6B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25207"/>
      <w:docPartObj>
        <w:docPartGallery w:val="Page Numbers (Top of Page)"/>
        <w:docPartUnique/>
      </w:docPartObj>
    </w:sdtPr>
    <w:sdtEndPr/>
    <w:sdtContent>
      <w:p w:rsidR="001B4B6B" w:rsidRDefault="001B4B6B" w:rsidP="00A06CBF">
        <w:pPr>
          <w:pStyle w:val="a3"/>
          <w:tabs>
            <w:tab w:val="left" w:pos="4363"/>
            <w:tab w:val="center" w:pos="456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49F8">
          <w:rPr>
            <w:noProof/>
          </w:rPr>
          <w:t>43</w:t>
        </w:r>
        <w:r>
          <w:fldChar w:fldCharType="end"/>
        </w:r>
      </w:p>
    </w:sdtContent>
  </w:sdt>
  <w:p w:rsidR="001B4B6B" w:rsidRDefault="001B4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23FB8"/>
    <w:multiLevelType w:val="hybridMultilevel"/>
    <w:tmpl w:val="946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5465C"/>
    <w:multiLevelType w:val="hybridMultilevel"/>
    <w:tmpl w:val="0888BA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21498"/>
    <w:multiLevelType w:val="hybridMultilevel"/>
    <w:tmpl w:val="63FEA68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1"/>
  </w:num>
  <w:num w:numId="5">
    <w:abstractNumId w:val="28"/>
  </w:num>
  <w:num w:numId="6">
    <w:abstractNumId w:val="30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6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4"/>
  </w:num>
  <w:num w:numId="19">
    <w:abstractNumId w:val="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0"/>
  </w:num>
  <w:num w:numId="25">
    <w:abstractNumId w:val="6"/>
  </w:num>
  <w:num w:numId="26">
    <w:abstractNumId w:val="32"/>
  </w:num>
  <w:num w:numId="27">
    <w:abstractNumId w:val="7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345E"/>
    <w:rsid w:val="00042B25"/>
    <w:rsid w:val="00060ED2"/>
    <w:rsid w:val="00062DC7"/>
    <w:rsid w:val="00093B4C"/>
    <w:rsid w:val="000A5220"/>
    <w:rsid w:val="000B18BB"/>
    <w:rsid w:val="00143245"/>
    <w:rsid w:val="00175BA8"/>
    <w:rsid w:val="001946CE"/>
    <w:rsid w:val="0019483A"/>
    <w:rsid w:val="001B4B6B"/>
    <w:rsid w:val="001B61B0"/>
    <w:rsid w:val="001C3C4A"/>
    <w:rsid w:val="001D3291"/>
    <w:rsid w:val="001D6D66"/>
    <w:rsid w:val="00202EA9"/>
    <w:rsid w:val="00237160"/>
    <w:rsid w:val="002542BF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C637B"/>
    <w:rsid w:val="003D618D"/>
    <w:rsid w:val="003E650D"/>
    <w:rsid w:val="003F0878"/>
    <w:rsid w:val="004A5251"/>
    <w:rsid w:val="004B24C1"/>
    <w:rsid w:val="004B6A95"/>
    <w:rsid w:val="004F2A9A"/>
    <w:rsid w:val="004F4D5E"/>
    <w:rsid w:val="005055C8"/>
    <w:rsid w:val="00583615"/>
    <w:rsid w:val="005B55A7"/>
    <w:rsid w:val="00615796"/>
    <w:rsid w:val="00627CC7"/>
    <w:rsid w:val="00647E3A"/>
    <w:rsid w:val="006B213C"/>
    <w:rsid w:val="006D7635"/>
    <w:rsid w:val="006F6AFC"/>
    <w:rsid w:val="00701575"/>
    <w:rsid w:val="00701B1C"/>
    <w:rsid w:val="00725634"/>
    <w:rsid w:val="00726D16"/>
    <w:rsid w:val="007349E6"/>
    <w:rsid w:val="007617F0"/>
    <w:rsid w:val="00771C3E"/>
    <w:rsid w:val="00783783"/>
    <w:rsid w:val="00790FFF"/>
    <w:rsid w:val="007B6C17"/>
    <w:rsid w:val="008009F1"/>
    <w:rsid w:val="00833FEB"/>
    <w:rsid w:val="008C574E"/>
    <w:rsid w:val="008C70A1"/>
    <w:rsid w:val="008D0EAF"/>
    <w:rsid w:val="008F2F69"/>
    <w:rsid w:val="008F74AD"/>
    <w:rsid w:val="009157FF"/>
    <w:rsid w:val="0099205B"/>
    <w:rsid w:val="009B0B6C"/>
    <w:rsid w:val="009D0782"/>
    <w:rsid w:val="009F2A21"/>
    <w:rsid w:val="00A06CBF"/>
    <w:rsid w:val="00A14AAF"/>
    <w:rsid w:val="00A22A73"/>
    <w:rsid w:val="00A457D0"/>
    <w:rsid w:val="00A62BAC"/>
    <w:rsid w:val="00AA0F21"/>
    <w:rsid w:val="00AA4183"/>
    <w:rsid w:val="00AB7570"/>
    <w:rsid w:val="00AD5E2E"/>
    <w:rsid w:val="00B01D22"/>
    <w:rsid w:val="00B42C75"/>
    <w:rsid w:val="00B665D5"/>
    <w:rsid w:val="00BA0620"/>
    <w:rsid w:val="00BD46D3"/>
    <w:rsid w:val="00C449F8"/>
    <w:rsid w:val="00C45BC4"/>
    <w:rsid w:val="00C45D1A"/>
    <w:rsid w:val="00C46650"/>
    <w:rsid w:val="00C53E74"/>
    <w:rsid w:val="00C65266"/>
    <w:rsid w:val="00C84852"/>
    <w:rsid w:val="00CB15EC"/>
    <w:rsid w:val="00CD4D26"/>
    <w:rsid w:val="00CE09DF"/>
    <w:rsid w:val="00CE2144"/>
    <w:rsid w:val="00D20E46"/>
    <w:rsid w:val="00D5743D"/>
    <w:rsid w:val="00D834A9"/>
    <w:rsid w:val="00DC1AEE"/>
    <w:rsid w:val="00DD7B7B"/>
    <w:rsid w:val="00E14BA5"/>
    <w:rsid w:val="00E30E78"/>
    <w:rsid w:val="00E33852"/>
    <w:rsid w:val="00E349E5"/>
    <w:rsid w:val="00E515D7"/>
    <w:rsid w:val="00E80B30"/>
    <w:rsid w:val="00F06DEE"/>
    <w:rsid w:val="00F17E4F"/>
    <w:rsid w:val="00F32AC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B9E-90A8-4A6B-AD32-4D33F83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43</Pages>
  <Words>15963</Words>
  <Characters>90994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44</cp:revision>
  <cp:lastPrinted>2022-05-04T07:35:00Z</cp:lastPrinted>
  <dcterms:created xsi:type="dcterms:W3CDTF">2022-04-27T08:58:00Z</dcterms:created>
  <dcterms:modified xsi:type="dcterms:W3CDTF">2022-05-16T07:11:00Z</dcterms:modified>
</cp:coreProperties>
</file>